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>
          <w:rFonts w:ascii="Nunito" w:cs="Nunito" w:eastAsia="Nunito" w:hAnsi="Nunito"/>
          <w:b w:val="1"/>
          <w:bCs w:val="1"/>
          <w:sz w:val="46"/>
          <w:szCs w:val="46"/>
        </w:rPr>
      </w:pPr>
      <w:bookmarkStart w:colFirst="0" w:colLast="0" w:name="_2zuugg4c6zxv" w:id="0"/>
      <w:bookmarkEnd w:id="0"/>
      <w:r w:rsidDel="00000000" w:rsidR="00000000" w:rsidRPr="00000000">
        <w:rPr>
          <w:rFonts w:ascii="Nunito" w:cs="Nunito" w:eastAsia="Nunito" w:hAnsi="Nunito"/>
          <w:b w:val="1"/>
          <w:bCs w:val="1"/>
          <w:sz w:val="46"/>
          <w:szCs w:val="46"/>
          <w:rtl w:val="0"/>
        </w:rPr>
        <w:t xml:space="preserve">Política de Seguridad de la Información</w:t>
      </w:r>
    </w:p>
    <w:p w:rsidR="00000000" w:rsidDel="00000000" w:rsidP="00000000" w:rsidRDefault="00000000" w:rsidRPr="00000000" w14:paraId="00000002">
      <w:pPr>
        <w:keepNext w:val="1"/>
        <w:spacing w:line="288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/>
        <w:drawing>
          <wp:inline distB="114300" distT="114300" distL="114300" distR="114300">
            <wp:extent cx="557213" cy="569876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213" cy="5698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Edición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02</w:t>
      </w:r>
    </w:p>
    <w:p w:rsidR="00000000" w:rsidDel="00000000" w:rsidP="00000000" w:rsidRDefault="00000000" w:rsidRPr="00000000" w14:paraId="00000004">
      <w:pPr>
        <w:keepNext w:val="1"/>
        <w:spacing w:line="288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Fecha Ed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10/02/2026</w:t>
      </w:r>
    </w:p>
    <w:p w:rsidR="00000000" w:rsidDel="00000000" w:rsidP="00000000" w:rsidRDefault="00000000" w:rsidRPr="00000000" w14:paraId="00000005">
      <w:pPr>
        <w:keepNext w:val="1"/>
        <w:spacing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600.0" w:type="dxa"/>
        <w:tblLayout w:type="fixed"/>
        <w:tblLook w:val="0000"/>
      </w:tblPr>
      <w:tblGrid>
        <w:gridCol w:w="3345"/>
        <w:gridCol w:w="3525"/>
        <w:gridCol w:w="3480"/>
        <w:tblGridChange w:id="0">
          <w:tblGrid>
            <w:gridCol w:w="3345"/>
            <w:gridCol w:w="3525"/>
            <w:gridCol w:w="3480"/>
          </w:tblGrid>
        </w:tblGridChange>
      </w:tblGrid>
      <w:tr>
        <w:trPr>
          <w:cantSplit w:val="0"/>
          <w:trHeight w:val="2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88" w:lineRule="auto"/>
              <w:jc w:val="center"/>
              <w:rPr>
                <w:rFonts w:ascii="Nunito" w:cs="Nunito" w:eastAsia="Nunito" w:hAnsi="Nunito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88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sz w:val="24"/>
                <w:szCs w:val="24"/>
                <w:rtl w:val="0"/>
              </w:rPr>
              <w:t xml:space="preserve">ELABORADO POR: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88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</w:rPr>
              <w:drawing>
                <wp:inline distB="114300" distT="114300" distL="114300" distR="114300">
                  <wp:extent cx="795338" cy="684728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338" cy="6847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88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sz w:val="24"/>
                <w:szCs w:val="24"/>
                <w:rtl w:val="0"/>
              </w:rPr>
              <w:t xml:space="preserve">Gonzalo Bourdieu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88" w:lineRule="auto"/>
              <w:jc w:val="center"/>
              <w:rPr>
                <w:rFonts w:ascii="Nunito" w:cs="Nunito" w:eastAsia="Nunito" w:hAnsi="Nunito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88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sz w:val="24"/>
                <w:szCs w:val="24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88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</w:rPr>
              <w:drawing>
                <wp:inline distB="114300" distT="114300" distL="114300" distR="114300">
                  <wp:extent cx="795338" cy="68472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338" cy="6847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88" w:lineRule="auto"/>
              <w:jc w:val="center"/>
              <w:rPr>
                <w:rFonts w:ascii="Nunito" w:cs="Nunito" w:eastAsia="Nunito" w:hAnsi="Nuni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sz w:val="24"/>
                <w:szCs w:val="24"/>
                <w:rtl w:val="0"/>
              </w:rPr>
              <w:t xml:space="preserve">Gonzalo Bourdieu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88" w:lineRule="auto"/>
              <w:jc w:val="center"/>
              <w:rPr>
                <w:rFonts w:ascii="Nunito" w:cs="Nunito" w:eastAsia="Nunito" w:hAnsi="Nunito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88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sz w:val="24"/>
                <w:szCs w:val="24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88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</w:rPr>
              <w:drawing>
                <wp:inline distB="114300" distT="114300" distL="114300" distR="114300">
                  <wp:extent cx="562981" cy="694343"/>
                  <wp:effectExtent b="0" l="0" r="0" t="0"/>
                  <wp:docPr id="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81" cy="6943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88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sz w:val="24"/>
                <w:szCs w:val="24"/>
                <w:rtl w:val="0"/>
              </w:rPr>
              <w:t xml:space="preserve">Hipólito Gimenez Blanco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88" w:lineRule="auto"/>
        <w:rPr>
          <w:rFonts w:ascii="Nunito" w:cs="Nunito" w:eastAsia="Nunito" w:hAnsi="Nunito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Layout w:type="fixed"/>
        <w:tblLook w:val="0000"/>
      </w:tblPr>
      <w:tblGrid>
        <w:gridCol w:w="1275"/>
        <w:gridCol w:w="1455"/>
        <w:gridCol w:w="4920"/>
        <w:gridCol w:w="2700"/>
        <w:tblGridChange w:id="0">
          <w:tblGrid>
            <w:gridCol w:w="1275"/>
            <w:gridCol w:w="1455"/>
            <w:gridCol w:w="4920"/>
            <w:gridCol w:w="270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-840"/>
                <w:tab w:val="left" w:leader="none" w:pos="-120"/>
                <w:tab w:val="left" w:leader="none" w:pos="600"/>
                <w:tab w:val="left" w:leader="none" w:pos="1320"/>
                <w:tab w:val="left" w:leader="none" w:pos="2040"/>
                <w:tab w:val="left" w:leader="none" w:pos="2760"/>
                <w:tab w:val="left" w:leader="none" w:pos="3480"/>
                <w:tab w:val="left" w:leader="none" w:pos="4200"/>
                <w:tab w:val="left" w:leader="none" w:pos="4920"/>
                <w:tab w:val="left" w:leader="none" w:pos="5640"/>
                <w:tab w:val="left" w:leader="none" w:pos="6360"/>
                <w:tab w:val="left" w:leader="none" w:pos="7080"/>
                <w:tab w:val="left" w:leader="none" w:pos="7800"/>
                <w:tab w:val="left" w:leader="none" w:pos="8520"/>
                <w:tab w:val="left" w:leader="none" w:pos="9240"/>
                <w:tab w:val="left" w:leader="none" w:pos="9960"/>
                <w:tab w:val="left" w:leader="none" w:pos="10680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CONTROL DE REVISIONES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-2707"/>
                <w:tab w:val="left" w:leader="none" w:pos="-1987"/>
                <w:tab w:val="left" w:leader="none" w:pos="-1267"/>
                <w:tab w:val="left" w:leader="none" w:pos="-547"/>
                <w:tab w:val="left" w:leader="none" w:pos="173"/>
                <w:tab w:val="left" w:leader="none" w:pos="893"/>
                <w:tab w:val="left" w:leader="none" w:pos="1613"/>
                <w:tab w:val="left" w:leader="none" w:pos="2333"/>
                <w:tab w:val="left" w:leader="none" w:pos="3053"/>
                <w:tab w:val="left" w:leader="none" w:pos="3773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EDICIÓN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-2707"/>
                <w:tab w:val="left" w:leader="none" w:pos="-1987"/>
                <w:tab w:val="left" w:leader="none" w:pos="-1267"/>
                <w:tab w:val="left" w:leader="none" w:pos="-547"/>
                <w:tab w:val="left" w:leader="none" w:pos="173"/>
                <w:tab w:val="left" w:leader="none" w:pos="893"/>
                <w:tab w:val="left" w:leader="none" w:pos="1613"/>
                <w:tab w:val="left" w:leader="none" w:pos="2333"/>
                <w:tab w:val="left" w:leader="none" w:pos="3053"/>
                <w:tab w:val="left" w:leader="none" w:pos="3773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FECHA REVISIÓN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-4431"/>
                <w:tab w:val="left" w:leader="none" w:pos="-3711"/>
                <w:tab w:val="left" w:leader="none" w:pos="-2991"/>
                <w:tab w:val="left" w:leader="none" w:pos="-2271"/>
                <w:tab w:val="left" w:leader="none" w:pos="-1551"/>
                <w:tab w:val="left" w:leader="none" w:pos="-831"/>
                <w:tab w:val="left" w:leader="none" w:pos="-111"/>
                <w:tab w:val="left" w:leader="none" w:pos="609"/>
                <w:tab w:val="left" w:leader="none" w:pos="1329"/>
                <w:tab w:val="left" w:leader="none" w:pos="2049"/>
                <w:tab w:val="left" w:leader="none" w:pos="2769"/>
                <w:tab w:val="left" w:leader="none" w:pos="3489"/>
                <w:tab w:val="left" w:leader="none" w:pos="4209"/>
                <w:tab w:val="left" w:leader="none" w:pos="4929"/>
                <w:tab w:val="left" w:leader="none" w:pos="5649"/>
                <w:tab w:val="left" w:leader="none" w:pos="6369"/>
                <w:tab w:val="left" w:leader="none" w:pos="7089"/>
                <w:tab w:val="left" w:leader="none" w:pos="7809"/>
                <w:tab w:val="left" w:leader="none" w:pos="8529"/>
                <w:tab w:val="left" w:leader="none" w:pos="9249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OBSERVACIONES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-4431"/>
                <w:tab w:val="left" w:leader="none" w:pos="-3711"/>
                <w:tab w:val="left" w:leader="none" w:pos="-2991"/>
                <w:tab w:val="left" w:leader="none" w:pos="-2271"/>
                <w:tab w:val="left" w:leader="none" w:pos="-1551"/>
                <w:tab w:val="left" w:leader="none" w:pos="-831"/>
                <w:tab w:val="left" w:leader="none" w:pos="-111"/>
                <w:tab w:val="left" w:leader="none" w:pos="609"/>
                <w:tab w:val="left" w:leader="none" w:pos="1329"/>
                <w:tab w:val="left" w:leader="none" w:pos="2049"/>
                <w:tab w:val="left" w:leader="none" w:pos="2769"/>
                <w:tab w:val="left" w:leader="none" w:pos="3489"/>
                <w:tab w:val="left" w:leader="none" w:pos="4209"/>
                <w:tab w:val="left" w:leader="none" w:pos="4929"/>
                <w:tab w:val="left" w:leader="none" w:pos="5649"/>
                <w:tab w:val="left" w:leader="none" w:pos="6369"/>
                <w:tab w:val="left" w:leader="none" w:pos="7089"/>
                <w:tab w:val="left" w:leader="none" w:pos="7809"/>
                <w:tab w:val="left" w:leader="none" w:pos="8529"/>
                <w:tab w:val="left" w:leader="none" w:pos="9249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FECHA APROBACIÓN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-2707"/>
                <w:tab w:val="left" w:leader="none" w:pos="-1987"/>
                <w:tab w:val="left" w:leader="none" w:pos="-1267"/>
                <w:tab w:val="left" w:leader="none" w:pos="-547"/>
                <w:tab w:val="left" w:leader="none" w:pos="173"/>
                <w:tab w:val="left" w:leader="none" w:pos="893"/>
                <w:tab w:val="left" w:leader="none" w:pos="1613"/>
                <w:tab w:val="left" w:leader="none" w:pos="2333"/>
                <w:tab w:val="left" w:leader="none" w:pos="3053"/>
                <w:tab w:val="left" w:leader="none" w:pos="3773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-2707"/>
                <w:tab w:val="left" w:leader="none" w:pos="-1987"/>
                <w:tab w:val="left" w:leader="none" w:pos="-1267"/>
                <w:tab w:val="left" w:leader="none" w:pos="-547"/>
                <w:tab w:val="left" w:leader="none" w:pos="173"/>
                <w:tab w:val="left" w:leader="none" w:pos="893"/>
                <w:tab w:val="left" w:leader="none" w:pos="1613"/>
                <w:tab w:val="left" w:leader="none" w:pos="2333"/>
                <w:tab w:val="left" w:leader="none" w:pos="3053"/>
                <w:tab w:val="left" w:leader="none" w:pos="3773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2025-01-24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-4431"/>
                <w:tab w:val="left" w:leader="none" w:pos="-3711"/>
                <w:tab w:val="left" w:leader="none" w:pos="-2991"/>
                <w:tab w:val="left" w:leader="none" w:pos="-2271"/>
                <w:tab w:val="left" w:leader="none" w:pos="-1551"/>
                <w:tab w:val="left" w:leader="none" w:pos="-831"/>
                <w:tab w:val="left" w:leader="none" w:pos="-111"/>
                <w:tab w:val="left" w:leader="none" w:pos="609"/>
                <w:tab w:val="left" w:leader="none" w:pos="1329"/>
                <w:tab w:val="left" w:leader="none" w:pos="2049"/>
                <w:tab w:val="left" w:leader="none" w:pos="2769"/>
                <w:tab w:val="left" w:leader="none" w:pos="3489"/>
                <w:tab w:val="left" w:leader="none" w:pos="4209"/>
                <w:tab w:val="left" w:leader="none" w:pos="4929"/>
                <w:tab w:val="left" w:leader="none" w:pos="5649"/>
                <w:tab w:val="left" w:leader="none" w:pos="6369"/>
                <w:tab w:val="left" w:leader="none" w:pos="7089"/>
                <w:tab w:val="left" w:leader="none" w:pos="7809"/>
                <w:tab w:val="left" w:leader="none" w:pos="8529"/>
                <w:tab w:val="left" w:leader="none" w:pos="9249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Primera versión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-4431"/>
                <w:tab w:val="left" w:leader="none" w:pos="-3711"/>
                <w:tab w:val="left" w:leader="none" w:pos="-2991"/>
                <w:tab w:val="left" w:leader="none" w:pos="-2271"/>
                <w:tab w:val="left" w:leader="none" w:pos="-1551"/>
                <w:tab w:val="left" w:leader="none" w:pos="-831"/>
                <w:tab w:val="left" w:leader="none" w:pos="-111"/>
                <w:tab w:val="left" w:leader="none" w:pos="609"/>
                <w:tab w:val="left" w:leader="none" w:pos="1329"/>
                <w:tab w:val="left" w:leader="none" w:pos="2049"/>
                <w:tab w:val="left" w:leader="none" w:pos="2769"/>
                <w:tab w:val="left" w:leader="none" w:pos="3489"/>
                <w:tab w:val="left" w:leader="none" w:pos="4209"/>
                <w:tab w:val="left" w:leader="none" w:pos="4929"/>
                <w:tab w:val="left" w:leader="none" w:pos="5649"/>
                <w:tab w:val="left" w:leader="none" w:pos="6369"/>
                <w:tab w:val="left" w:leader="none" w:pos="7089"/>
                <w:tab w:val="left" w:leader="none" w:pos="7809"/>
                <w:tab w:val="left" w:leader="none" w:pos="8529"/>
                <w:tab w:val="left" w:leader="none" w:pos="9249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2025-02-21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-2707"/>
                <w:tab w:val="left" w:leader="none" w:pos="-1987"/>
                <w:tab w:val="left" w:leader="none" w:pos="-1267"/>
                <w:tab w:val="left" w:leader="none" w:pos="-547"/>
                <w:tab w:val="left" w:leader="none" w:pos="173"/>
                <w:tab w:val="left" w:leader="none" w:pos="893"/>
                <w:tab w:val="left" w:leader="none" w:pos="1613"/>
                <w:tab w:val="left" w:leader="none" w:pos="2333"/>
                <w:tab w:val="left" w:leader="none" w:pos="3053"/>
                <w:tab w:val="left" w:leader="none" w:pos="3773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line="288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2026-02-09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-4431"/>
                <w:tab w:val="left" w:leader="none" w:pos="-3711"/>
                <w:tab w:val="left" w:leader="none" w:pos="-2991"/>
                <w:tab w:val="left" w:leader="none" w:pos="-2271"/>
                <w:tab w:val="left" w:leader="none" w:pos="-1551"/>
                <w:tab w:val="left" w:leader="none" w:pos="-831"/>
                <w:tab w:val="left" w:leader="none" w:pos="-111"/>
                <w:tab w:val="left" w:leader="none" w:pos="609"/>
                <w:tab w:val="left" w:leader="none" w:pos="1329"/>
                <w:tab w:val="left" w:leader="none" w:pos="2049"/>
                <w:tab w:val="left" w:leader="none" w:pos="2769"/>
                <w:tab w:val="left" w:leader="none" w:pos="3489"/>
                <w:tab w:val="left" w:leader="none" w:pos="4209"/>
                <w:tab w:val="left" w:leader="none" w:pos="4929"/>
                <w:tab w:val="left" w:leader="none" w:pos="5649"/>
                <w:tab w:val="left" w:leader="none" w:pos="6369"/>
                <w:tab w:val="left" w:leader="none" w:pos="7089"/>
                <w:tab w:val="left" w:leader="none" w:pos="7809"/>
                <w:tab w:val="left" w:leader="none" w:pos="8529"/>
                <w:tab w:val="left" w:leader="none" w:pos="9249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Segunda Revisión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-4431"/>
                <w:tab w:val="left" w:leader="none" w:pos="-3711"/>
                <w:tab w:val="left" w:leader="none" w:pos="-2991"/>
                <w:tab w:val="left" w:leader="none" w:pos="-2271"/>
                <w:tab w:val="left" w:leader="none" w:pos="-1551"/>
                <w:tab w:val="left" w:leader="none" w:pos="-831"/>
                <w:tab w:val="left" w:leader="none" w:pos="-111"/>
                <w:tab w:val="left" w:leader="none" w:pos="609"/>
                <w:tab w:val="left" w:leader="none" w:pos="1329"/>
                <w:tab w:val="left" w:leader="none" w:pos="2049"/>
                <w:tab w:val="left" w:leader="none" w:pos="2769"/>
                <w:tab w:val="left" w:leader="none" w:pos="3489"/>
                <w:tab w:val="left" w:leader="none" w:pos="4209"/>
                <w:tab w:val="left" w:leader="none" w:pos="4929"/>
                <w:tab w:val="left" w:leader="none" w:pos="5649"/>
                <w:tab w:val="left" w:leader="none" w:pos="6369"/>
                <w:tab w:val="left" w:leader="none" w:pos="7089"/>
                <w:tab w:val="left" w:leader="none" w:pos="7809"/>
                <w:tab w:val="left" w:leader="none" w:pos="8529"/>
                <w:tab w:val="left" w:leader="none" w:pos="9249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2026-02-10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-2707"/>
                <w:tab w:val="left" w:leader="none" w:pos="-1987"/>
                <w:tab w:val="left" w:leader="none" w:pos="-1267"/>
                <w:tab w:val="left" w:leader="none" w:pos="-547"/>
                <w:tab w:val="left" w:leader="none" w:pos="173"/>
                <w:tab w:val="left" w:leader="none" w:pos="893"/>
                <w:tab w:val="left" w:leader="none" w:pos="1613"/>
                <w:tab w:val="left" w:leader="none" w:pos="2333"/>
                <w:tab w:val="left" w:leader="none" w:pos="3053"/>
                <w:tab w:val="left" w:leader="none" w:pos="3773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-2707"/>
                <w:tab w:val="left" w:leader="none" w:pos="-1987"/>
                <w:tab w:val="left" w:leader="none" w:pos="-1267"/>
                <w:tab w:val="left" w:leader="none" w:pos="-547"/>
                <w:tab w:val="left" w:leader="none" w:pos="173"/>
                <w:tab w:val="left" w:leader="none" w:pos="893"/>
                <w:tab w:val="left" w:leader="none" w:pos="1613"/>
                <w:tab w:val="left" w:leader="none" w:pos="2333"/>
                <w:tab w:val="left" w:leader="none" w:pos="3053"/>
                <w:tab w:val="left" w:leader="none" w:pos="3773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-4431"/>
                <w:tab w:val="left" w:leader="none" w:pos="-3711"/>
                <w:tab w:val="left" w:leader="none" w:pos="-2991"/>
                <w:tab w:val="left" w:leader="none" w:pos="-2271"/>
                <w:tab w:val="left" w:leader="none" w:pos="-1551"/>
                <w:tab w:val="left" w:leader="none" w:pos="-831"/>
                <w:tab w:val="left" w:leader="none" w:pos="-111"/>
                <w:tab w:val="left" w:leader="none" w:pos="609"/>
                <w:tab w:val="left" w:leader="none" w:pos="1329"/>
                <w:tab w:val="left" w:leader="none" w:pos="2049"/>
                <w:tab w:val="left" w:leader="none" w:pos="2769"/>
                <w:tab w:val="left" w:leader="none" w:pos="3489"/>
                <w:tab w:val="left" w:leader="none" w:pos="4209"/>
                <w:tab w:val="left" w:leader="none" w:pos="4929"/>
                <w:tab w:val="left" w:leader="none" w:pos="5649"/>
                <w:tab w:val="left" w:leader="none" w:pos="6369"/>
                <w:tab w:val="left" w:leader="none" w:pos="7089"/>
                <w:tab w:val="left" w:leader="none" w:pos="7809"/>
                <w:tab w:val="left" w:leader="none" w:pos="8529"/>
                <w:tab w:val="left" w:leader="none" w:pos="9249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-4431"/>
                <w:tab w:val="left" w:leader="none" w:pos="-3711"/>
                <w:tab w:val="left" w:leader="none" w:pos="-2991"/>
                <w:tab w:val="left" w:leader="none" w:pos="-2271"/>
                <w:tab w:val="left" w:leader="none" w:pos="-1551"/>
                <w:tab w:val="left" w:leader="none" w:pos="-831"/>
                <w:tab w:val="left" w:leader="none" w:pos="-111"/>
                <w:tab w:val="left" w:leader="none" w:pos="609"/>
                <w:tab w:val="left" w:leader="none" w:pos="1329"/>
                <w:tab w:val="left" w:leader="none" w:pos="2049"/>
                <w:tab w:val="left" w:leader="none" w:pos="2769"/>
                <w:tab w:val="left" w:leader="none" w:pos="3489"/>
                <w:tab w:val="left" w:leader="none" w:pos="4209"/>
                <w:tab w:val="left" w:leader="none" w:pos="4929"/>
                <w:tab w:val="left" w:leader="none" w:pos="5649"/>
                <w:tab w:val="left" w:leader="none" w:pos="6369"/>
                <w:tab w:val="left" w:leader="none" w:pos="7089"/>
                <w:tab w:val="left" w:leader="none" w:pos="7809"/>
                <w:tab w:val="left" w:leader="none" w:pos="8529"/>
                <w:tab w:val="left" w:leader="none" w:pos="9249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-2707"/>
                <w:tab w:val="left" w:leader="none" w:pos="-1987"/>
                <w:tab w:val="left" w:leader="none" w:pos="-1267"/>
                <w:tab w:val="left" w:leader="none" w:pos="-547"/>
                <w:tab w:val="left" w:leader="none" w:pos="173"/>
                <w:tab w:val="left" w:leader="none" w:pos="893"/>
                <w:tab w:val="left" w:leader="none" w:pos="1613"/>
                <w:tab w:val="left" w:leader="none" w:pos="2333"/>
                <w:tab w:val="left" w:leader="none" w:pos="3053"/>
                <w:tab w:val="left" w:leader="none" w:pos="3773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-2707"/>
                <w:tab w:val="left" w:leader="none" w:pos="-1987"/>
                <w:tab w:val="left" w:leader="none" w:pos="-1267"/>
                <w:tab w:val="left" w:leader="none" w:pos="-547"/>
                <w:tab w:val="left" w:leader="none" w:pos="173"/>
                <w:tab w:val="left" w:leader="none" w:pos="893"/>
                <w:tab w:val="left" w:leader="none" w:pos="1613"/>
                <w:tab w:val="left" w:leader="none" w:pos="2333"/>
                <w:tab w:val="left" w:leader="none" w:pos="3053"/>
                <w:tab w:val="left" w:leader="none" w:pos="3773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-4431"/>
                <w:tab w:val="left" w:leader="none" w:pos="-3711"/>
                <w:tab w:val="left" w:leader="none" w:pos="-2991"/>
                <w:tab w:val="left" w:leader="none" w:pos="-2271"/>
                <w:tab w:val="left" w:leader="none" w:pos="-1551"/>
                <w:tab w:val="left" w:leader="none" w:pos="-831"/>
                <w:tab w:val="left" w:leader="none" w:pos="-111"/>
                <w:tab w:val="left" w:leader="none" w:pos="609"/>
                <w:tab w:val="left" w:leader="none" w:pos="1329"/>
                <w:tab w:val="left" w:leader="none" w:pos="2049"/>
                <w:tab w:val="left" w:leader="none" w:pos="2769"/>
                <w:tab w:val="left" w:leader="none" w:pos="3489"/>
                <w:tab w:val="left" w:leader="none" w:pos="4209"/>
                <w:tab w:val="left" w:leader="none" w:pos="4929"/>
                <w:tab w:val="left" w:leader="none" w:pos="5649"/>
                <w:tab w:val="left" w:leader="none" w:pos="6369"/>
                <w:tab w:val="left" w:leader="none" w:pos="7089"/>
                <w:tab w:val="left" w:leader="none" w:pos="7809"/>
                <w:tab w:val="left" w:leader="none" w:pos="8529"/>
                <w:tab w:val="left" w:leader="none" w:pos="9249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-4431"/>
                <w:tab w:val="left" w:leader="none" w:pos="-3711"/>
                <w:tab w:val="left" w:leader="none" w:pos="-2991"/>
                <w:tab w:val="left" w:leader="none" w:pos="-2271"/>
                <w:tab w:val="left" w:leader="none" w:pos="-1551"/>
                <w:tab w:val="left" w:leader="none" w:pos="-831"/>
                <w:tab w:val="left" w:leader="none" w:pos="-111"/>
                <w:tab w:val="left" w:leader="none" w:pos="609"/>
                <w:tab w:val="left" w:leader="none" w:pos="1329"/>
                <w:tab w:val="left" w:leader="none" w:pos="2049"/>
                <w:tab w:val="left" w:leader="none" w:pos="2769"/>
                <w:tab w:val="left" w:leader="none" w:pos="3489"/>
                <w:tab w:val="left" w:leader="none" w:pos="4209"/>
                <w:tab w:val="left" w:leader="none" w:pos="4929"/>
                <w:tab w:val="left" w:leader="none" w:pos="5649"/>
                <w:tab w:val="left" w:leader="none" w:pos="6369"/>
                <w:tab w:val="left" w:leader="none" w:pos="7089"/>
                <w:tab w:val="left" w:leader="none" w:pos="7809"/>
                <w:tab w:val="left" w:leader="none" w:pos="8529"/>
                <w:tab w:val="left" w:leader="none" w:pos="9249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-2707"/>
                <w:tab w:val="left" w:leader="none" w:pos="-1987"/>
                <w:tab w:val="left" w:leader="none" w:pos="-1267"/>
                <w:tab w:val="left" w:leader="none" w:pos="-547"/>
                <w:tab w:val="left" w:leader="none" w:pos="173"/>
                <w:tab w:val="left" w:leader="none" w:pos="893"/>
                <w:tab w:val="left" w:leader="none" w:pos="1613"/>
                <w:tab w:val="left" w:leader="none" w:pos="2333"/>
                <w:tab w:val="left" w:leader="none" w:pos="3053"/>
                <w:tab w:val="left" w:leader="none" w:pos="3773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-2707"/>
                <w:tab w:val="left" w:leader="none" w:pos="-1987"/>
                <w:tab w:val="left" w:leader="none" w:pos="-1267"/>
                <w:tab w:val="left" w:leader="none" w:pos="-547"/>
                <w:tab w:val="left" w:leader="none" w:pos="173"/>
                <w:tab w:val="left" w:leader="none" w:pos="893"/>
                <w:tab w:val="left" w:leader="none" w:pos="1613"/>
                <w:tab w:val="left" w:leader="none" w:pos="2333"/>
                <w:tab w:val="left" w:leader="none" w:pos="3053"/>
                <w:tab w:val="left" w:leader="none" w:pos="3773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-4431"/>
                <w:tab w:val="left" w:leader="none" w:pos="-3711"/>
                <w:tab w:val="left" w:leader="none" w:pos="-2991"/>
                <w:tab w:val="left" w:leader="none" w:pos="-2271"/>
                <w:tab w:val="left" w:leader="none" w:pos="-1551"/>
                <w:tab w:val="left" w:leader="none" w:pos="-831"/>
                <w:tab w:val="left" w:leader="none" w:pos="-111"/>
                <w:tab w:val="left" w:leader="none" w:pos="609"/>
                <w:tab w:val="left" w:leader="none" w:pos="1329"/>
                <w:tab w:val="left" w:leader="none" w:pos="2049"/>
                <w:tab w:val="left" w:leader="none" w:pos="2769"/>
                <w:tab w:val="left" w:leader="none" w:pos="3489"/>
                <w:tab w:val="left" w:leader="none" w:pos="4209"/>
                <w:tab w:val="left" w:leader="none" w:pos="4929"/>
                <w:tab w:val="left" w:leader="none" w:pos="5649"/>
                <w:tab w:val="left" w:leader="none" w:pos="6369"/>
                <w:tab w:val="left" w:leader="none" w:pos="7089"/>
                <w:tab w:val="left" w:leader="none" w:pos="7809"/>
                <w:tab w:val="left" w:leader="none" w:pos="8529"/>
                <w:tab w:val="left" w:leader="none" w:pos="9249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-4431"/>
                <w:tab w:val="left" w:leader="none" w:pos="-3711"/>
                <w:tab w:val="left" w:leader="none" w:pos="-2991"/>
                <w:tab w:val="left" w:leader="none" w:pos="-2271"/>
                <w:tab w:val="left" w:leader="none" w:pos="-1551"/>
                <w:tab w:val="left" w:leader="none" w:pos="-831"/>
                <w:tab w:val="left" w:leader="none" w:pos="-111"/>
                <w:tab w:val="left" w:leader="none" w:pos="609"/>
                <w:tab w:val="left" w:leader="none" w:pos="1329"/>
                <w:tab w:val="left" w:leader="none" w:pos="2049"/>
                <w:tab w:val="left" w:leader="none" w:pos="2769"/>
                <w:tab w:val="left" w:leader="none" w:pos="3489"/>
                <w:tab w:val="left" w:leader="none" w:pos="4209"/>
                <w:tab w:val="left" w:leader="none" w:pos="4929"/>
                <w:tab w:val="left" w:leader="none" w:pos="5649"/>
                <w:tab w:val="left" w:leader="none" w:pos="6369"/>
                <w:tab w:val="left" w:leader="none" w:pos="7089"/>
                <w:tab w:val="left" w:leader="none" w:pos="7809"/>
                <w:tab w:val="left" w:leader="none" w:pos="8529"/>
                <w:tab w:val="left" w:leader="none" w:pos="9249"/>
              </w:tabs>
              <w:spacing w:after="40" w:before="40"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</w:pBdr>
        <w:spacing w:line="288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</w:pBdr>
        <w:spacing w:line="288" w:lineRule="auto"/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i w:val="1"/>
          <w:iCs w:val="1"/>
          <w:sz w:val="24"/>
          <w:szCs w:val="24"/>
          <w:rtl w:val="0"/>
        </w:rPr>
        <w:t xml:space="preserve">El presente Documento es propiedad exclusiva de GROWKETING quedando prohibida su reproducción sin el consentimiento del Responsable del Sistema.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La Dirección de </w:t>
      </w: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Growketing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, a través del </w:t>
      </w: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Comité de Seguridad de la Información (CSI)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, establece, impulsa y difunde a todos los niveles de la organización la siguiente política y objetivos para la gestión de la seguridad de la información, la ciberseguridad y la protección de la privacidad.</w:t>
      </w:r>
    </w:p>
    <w:p w:rsidR="00000000" w:rsidDel="00000000" w:rsidP="00000000" w:rsidRDefault="00000000" w:rsidRPr="00000000" w14:paraId="00000037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La información que genera y gestiona Growketing constituye un activo estratégico clave para asegurar la continuidad del negocio. En este contexto, la </w:t>
      </w: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Política de Seguridad de la Información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 está orientada a proteger la información, los medios que permiten su gestión, incluidas las personas que acceden a la información y/o la manipulan. Todo esto con el fin de garantizar su </w:t>
      </w: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integridad, disponibilidad y confidencialidad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.</w:t>
      </w:r>
    </w:p>
    <w:p w:rsidR="00000000" w:rsidDel="00000000" w:rsidP="00000000" w:rsidRDefault="00000000" w:rsidRPr="00000000" w14:paraId="00000039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>
          <w:rFonts w:ascii="Nunito Sans" w:cs="Nunito Sans" w:eastAsia="Nunito Sans" w:hAnsi="Nunito Sans"/>
        </w:rPr>
      </w:pPr>
      <w:bookmarkStart w:colFirst="0" w:colLast="0" w:name="_6lqy0m5wuzji" w:id="1"/>
      <w:bookmarkEnd w:id="1"/>
      <w:r w:rsidDel="00000000" w:rsidR="00000000" w:rsidRPr="00000000">
        <w:rPr>
          <w:rtl w:val="0"/>
        </w:rPr>
        <w:t xml:space="preserve">Declaración de Intención de la Dirección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Growketing protegerá los recursos de información y la tecnología utilizada para su procesamiento de amenazas internas o externas, deliberadas o accidentales, con el objetivo de asegurar la </w:t>
      </w: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integridad, disponibilidad y confidencialidad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 de la información. Además, se compromete a garantizar la continuidad de los sistemas de información, minimizar riesgos de daño y asegurar el eficiente cumplimiento de sus objetivos estratégicos.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rPr>
          <w:rFonts w:ascii="Nunito Sans" w:cs="Nunito Sans" w:eastAsia="Nunito Sans" w:hAnsi="Nunito Sans"/>
        </w:rPr>
      </w:pPr>
      <w:bookmarkStart w:colFirst="0" w:colLast="0" w:name="_gxliq5n7q7n1" w:id="2"/>
      <w:bookmarkEnd w:id="2"/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Principios de Seguridad de la Información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Promover una cultura organizacional orientada a la seguridad de la información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Comprometer a las máximas autoridades de Growketing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 en la difusión, consolidación y cumplimiento de la política.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Implementar medidas de seguridad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 identificando recursos y partidas presupuestarias disponibles.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Mantener políticas, normativas y procedimientos actualizados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, con el fin de asegurar su vigencia y eficacia.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Promover prácticas para asegurar la continuidad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 de las funciones de Growketing.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Cumplir con los requisitos legales y reglamentarios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, propios de la organización y la mejora continua.</w:t>
      </w:r>
    </w:p>
    <w:p w:rsidR="00000000" w:rsidDel="00000000" w:rsidP="00000000" w:rsidRDefault="00000000" w:rsidRPr="00000000" w14:paraId="00000043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rPr>
          <w:rFonts w:ascii="Nunito Sans" w:cs="Nunito Sans" w:eastAsia="Nunito Sans" w:hAnsi="Nunito Sans"/>
        </w:rPr>
      </w:pPr>
      <w:bookmarkStart w:colFirst="0" w:colLast="0" w:name="_g5as7v8sn6lz" w:id="3"/>
      <w:bookmarkEnd w:id="3"/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Objetivos de la Gestión de Seguridad de la Información</w:t>
      </w:r>
    </w:p>
    <w:p w:rsidR="00000000" w:rsidDel="00000000" w:rsidP="00000000" w:rsidRDefault="00000000" w:rsidRPr="00000000" w14:paraId="00000045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El objetivo es lograr niveles adecuados de </w:t>
      </w: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integridad, confidencialidad y disponibilidad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 para la información de Growketing y sus clientes, asegurando la continuidad operativa de los procesos y servicios que desarrolla mediante el resguardo de los activos de información asociados a los procesos críticos del negocio.</w:t>
      </w:r>
    </w:p>
    <w:p w:rsidR="00000000" w:rsidDel="00000000" w:rsidP="00000000" w:rsidRDefault="00000000" w:rsidRPr="00000000" w14:paraId="00000046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Los objetivos específicos se encuentran detallados </w:t>
      </w:r>
      <w:hyperlink r:id="rId9">
        <w:r w:rsidDel="00000000" w:rsidR="00000000" w:rsidRPr="00000000">
          <w:rPr>
            <w:rFonts w:ascii="Nunito Sans" w:cs="Nunito Sans" w:eastAsia="Nunito Sans" w:hAnsi="Nunito Sans"/>
            <w:color w:val="1155cc"/>
            <w:u w:val="single"/>
            <w:rtl w:val="0"/>
          </w:rPr>
          <w:t xml:space="preserve">en objetivos específicos</w:t>
        </w:r>
      </w:hyperlink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.</w:t>
      </w:r>
    </w:p>
    <w:p w:rsidR="00000000" w:rsidDel="00000000" w:rsidP="00000000" w:rsidRDefault="00000000" w:rsidRPr="00000000" w14:paraId="00000048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rPr>
          <w:rFonts w:ascii="Nunito Sans" w:cs="Nunito Sans" w:eastAsia="Nunito Sans" w:hAnsi="Nunito Sans"/>
        </w:rPr>
      </w:pPr>
      <w:bookmarkStart w:colFirst="0" w:colLast="0" w:name="_nh8ga45t2qxd" w:id="4"/>
      <w:bookmarkEnd w:id="4"/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Alcance de la Política de Seguridad de la Información</w:t>
      </w:r>
    </w:p>
    <w:p w:rsidR="00000000" w:rsidDel="00000000" w:rsidP="00000000" w:rsidRDefault="00000000" w:rsidRPr="00000000" w14:paraId="0000004A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La </w:t>
      </w: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Política de Seguridad de la Información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 de Growketing se dicta en cumplimiento de las disposiciones legales vigentes, con el objetivo de gestionar adecuadamente la seguridad de la información.</w:t>
      </w:r>
    </w:p>
    <w:p w:rsidR="00000000" w:rsidDel="00000000" w:rsidP="00000000" w:rsidRDefault="00000000" w:rsidRPr="00000000" w14:paraId="0000004B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Esta política debe ser conocida y cumplida por todo el personal del área de “Data e Inteligencia Artificial” de Growketing (directivos, empleados, contratados) así como las áreas de soporte que interactúen con la misma, y será comunicada dentro de la organización. Además, estará disponible como información documentada para partes interesadas cuando corresponda.</w:t>
      </w:r>
    </w:p>
    <w:p w:rsidR="00000000" w:rsidDel="00000000" w:rsidP="00000000" w:rsidRDefault="00000000" w:rsidRPr="00000000" w14:paraId="0000004D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Esta política se aplica en todo el ámbito y proyectos del área de 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“Data e Inteligencia Artificial”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 de Growketing, a sus recursos y a la totalidad de los procesos, internos y externos, vinculados al área y los proyectos que lleva adelante.</w:t>
      </w:r>
    </w:p>
    <w:p w:rsidR="00000000" w:rsidDel="00000000" w:rsidP="00000000" w:rsidRDefault="00000000" w:rsidRPr="00000000" w14:paraId="0000004F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rPr>
          <w:rFonts w:ascii="Nunito Sans" w:cs="Nunito Sans" w:eastAsia="Nunito Sans" w:hAnsi="Nunito Sans"/>
        </w:rPr>
      </w:pPr>
      <w:bookmarkStart w:colFirst="0" w:colLast="0" w:name="_nlrpy560jphk" w:id="5"/>
      <w:bookmarkEnd w:id="5"/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Aspectos Generales</w:t>
      </w:r>
    </w:p>
    <w:p w:rsidR="00000000" w:rsidDel="00000000" w:rsidP="00000000" w:rsidRDefault="00000000" w:rsidRPr="00000000" w14:paraId="00000051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La Política de Seguridad de la Información ha sido elaborada en concordancia con la legislación vigente en el país. La Alta Dirección se compromete a realizar acciones para permitir la continuidad operativa, hacer frente a interrupciones de las actividades institucionales, proteger los procesos críticos y asegurar la reanudación oportuna de los sistemas de información.</w:t>
      </w:r>
    </w:p>
    <w:p w:rsidR="00000000" w:rsidDel="00000000" w:rsidP="00000000" w:rsidRDefault="00000000" w:rsidRPr="00000000" w14:paraId="00000052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rPr>
          <w:rFonts w:ascii="Nunito Sans" w:cs="Nunito Sans" w:eastAsia="Nunito Sans" w:hAnsi="Nunito Sans"/>
        </w:rPr>
      </w:pPr>
      <w:bookmarkStart w:colFirst="0" w:colLast="0" w:name="_47ru0y7gtsst" w:id="6"/>
      <w:bookmarkEnd w:id="6"/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Aprobación de la Política</w:t>
      </w:r>
    </w:p>
    <w:p w:rsidR="00000000" w:rsidDel="00000000" w:rsidP="00000000" w:rsidRDefault="00000000" w:rsidRPr="00000000" w14:paraId="00000054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La </w:t>
      </w: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política de seguridad de la información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 será aprobada por la Alta Dirección, reflejando claramente su compromiso, apoyo e interés en el desarrollo de una cultura de seguridad de la información en Growketing.</w:t>
      </w:r>
    </w:p>
    <w:p w:rsidR="00000000" w:rsidDel="00000000" w:rsidP="00000000" w:rsidRDefault="00000000" w:rsidRPr="00000000" w14:paraId="00000055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rPr>
          <w:rFonts w:ascii="Nunito Sans" w:cs="Nunito Sans" w:eastAsia="Nunito Sans" w:hAnsi="Nunito Sans"/>
        </w:rPr>
      </w:pPr>
      <w:bookmarkStart w:colFirst="0" w:colLast="0" w:name="_n8yxdcxltwfv" w:id="7"/>
      <w:bookmarkEnd w:id="7"/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Difusión de la Política</w:t>
      </w:r>
    </w:p>
    <w:p w:rsidR="00000000" w:rsidDel="00000000" w:rsidP="00000000" w:rsidRDefault="00000000" w:rsidRPr="00000000" w14:paraId="00000057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Será responsabilidad del </w:t>
      </w: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Oficial de Seguridad de la Información (OSI)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 difundir los temas relevantes en materia de seguridad. Las políticas de seguridad serán comunicadas a todo el personal de Growketing y a terceros que presten servicios a la organización.</w:t>
      </w:r>
    </w:p>
    <w:p w:rsidR="00000000" w:rsidDel="00000000" w:rsidP="00000000" w:rsidRDefault="00000000" w:rsidRPr="00000000" w14:paraId="00000058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Para la difusión de la política se utilizarán los medios disponibles en la organización, así como instancias de sensibilización y capacitación. Se definirá, implementará y evaluará un </w:t>
      </w:r>
      <w:hyperlink r:id="rId10">
        <w:r w:rsidDel="00000000" w:rsidR="00000000" w:rsidRPr="00000000">
          <w:rPr>
            <w:rFonts w:ascii="Nunito Sans" w:cs="Nunito Sans" w:eastAsia="Nunito Sans" w:hAnsi="Nunito Sans"/>
            <w:b w:val="1"/>
            <w:bCs w:val="1"/>
            <w:color w:val="1155cc"/>
            <w:u w:val="single"/>
            <w:rtl w:val="0"/>
          </w:rPr>
          <w:t xml:space="preserve">Plan de Difusión, Sensibilización y Capacitación</w:t>
        </w:r>
      </w:hyperlink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 en materia de seguridad de la información.</w:t>
      </w:r>
    </w:p>
    <w:p w:rsidR="00000000" w:rsidDel="00000000" w:rsidP="00000000" w:rsidRDefault="00000000" w:rsidRPr="00000000" w14:paraId="0000005A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rPr>
          <w:rFonts w:ascii="Nunito Sans" w:cs="Nunito Sans" w:eastAsia="Nunito Sans" w:hAnsi="Nunito Sans"/>
        </w:rPr>
      </w:pPr>
      <w:bookmarkStart w:colFirst="0" w:colLast="0" w:name="_xa53ucsin9kd" w:id="8"/>
      <w:bookmarkEnd w:id="8"/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Revisión de la Política</w:t>
      </w:r>
    </w:p>
    <w:p w:rsidR="00000000" w:rsidDel="00000000" w:rsidP="00000000" w:rsidRDefault="00000000" w:rsidRPr="00000000" w14:paraId="0000005C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La </w:t>
      </w: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Política de Seguridad de la Información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 será revisada anualmente para mantenerla actualizada. Además, se realizarán modificaciones en función de posibles cambios tecnológicos, impacto de incidentes de seguridad, cambios estructurales en Growketing, condiciones legales o a solicitud de la Dirección. Las modificaciones estarán a cargo del </w:t>
      </w:r>
      <w:r w:rsidDel="00000000" w:rsidR="00000000" w:rsidRPr="00000000">
        <w:rPr>
          <w:rFonts w:ascii="Nunito Sans" w:cs="Nunito Sans" w:eastAsia="Nunito Sans" w:hAnsi="Nunito Sans"/>
          <w:b w:val="1"/>
          <w:bCs w:val="1"/>
          <w:rtl w:val="0"/>
        </w:rPr>
        <w:t xml:space="preserve">Comité de Seguridad de la Información</w:t>
      </w: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 y serán aprobadas por la Dirección.</w:t>
      </w:r>
    </w:p>
    <w:p w:rsidR="00000000" w:rsidDel="00000000" w:rsidP="00000000" w:rsidRDefault="00000000" w:rsidRPr="00000000" w14:paraId="0000005D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Nunito Sans" w:cs="Nunito Sans" w:eastAsia="Nunito Sans" w:hAnsi="Nunito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cemRCRclVNFW9Ux0tCrnLfaYaogP2NT6MUrv_OSUDhE/edit?tab=t.0" TargetMode="External"/><Relationship Id="rId9" Type="http://schemas.openxmlformats.org/officeDocument/2006/relationships/hyperlink" Target="https://docs.google.com/document/u/1/d/1AuNvNom2vyXaB92-Bk2J6vcyLKAIKX7PovNJgFDiK80/ed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unitoSans-regular.ttf"/><Relationship Id="rId6" Type="http://schemas.openxmlformats.org/officeDocument/2006/relationships/font" Target="fonts/NunitoSans-bold.ttf"/><Relationship Id="rId7" Type="http://schemas.openxmlformats.org/officeDocument/2006/relationships/font" Target="fonts/NunitoSans-italic.ttf"/><Relationship Id="rId8" Type="http://schemas.openxmlformats.org/officeDocument/2006/relationships/font" Target="fonts/Nuni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